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Пономарева Е.А., МБОУ гимназия №9, г. Воронеж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1c4587"/>
          <w:sz w:val="28"/>
          <w:szCs w:val="28"/>
        </w:rPr>
      </w:pPr>
      <w:r w:rsidDel="00000000" w:rsidR="00000000" w:rsidRPr="00000000">
        <w:rPr>
          <w:b w:val="1"/>
          <w:color w:val="1c4587"/>
          <w:sz w:val="28"/>
          <w:szCs w:val="28"/>
          <w:rtl w:val="0"/>
        </w:rPr>
        <w:t xml:space="preserve">Как воспользоваться сервисом </w:t>
      </w:r>
      <w:r w:rsidDel="00000000" w:rsidR="00000000" w:rsidRPr="00000000">
        <w:rPr>
          <w:rFonts w:ascii="Trebuchet MS" w:cs="Trebuchet MS" w:eastAsia="Trebuchet MS" w:hAnsi="Trebuchet MS"/>
          <w:b w:val="1"/>
          <w:color w:val="1c4587"/>
          <w:sz w:val="28"/>
          <w:szCs w:val="28"/>
          <w:highlight w:val="white"/>
          <w:rtl w:val="0"/>
        </w:rPr>
        <w:t xml:space="preserve">Screencast-O-Matic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Screencast-O-Matic, простой и удобный в использовании сервис, является превосходным инструментом для видеозахвата происходящего на экране.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Многим пользователям знакома его первая версия, работающая прямо в браузере на основе плагина Java.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После того как Google отказался от поддержки Java, сервис успел перестроиться. Теперь, в версии 2.0, для его использования Java не требуется, но надо установить на свой компьютер программу-рекордер. Для использования сервиса требуется операционная система  Windows Vista или </w:t>
      </w:r>
      <w:hyperlink r:id="rId5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highlight w:val="white"/>
            <w:rtl w:val="0"/>
          </w:rPr>
          <w:t xml:space="preserve">более поздние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версии Windows.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Версия 1.0 по-прежнему сохраняется. Так что если ваш браузер поддерживает Java, то можно пользоваться и ею. Однако практика показывает, что с обновлением Java мороки гораздо больше, поэтому рекомендуем Screencast-O-Matic 2.0.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Если вы владеете английским языком, можно воспользоваться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highlight w:val="white"/>
            <w:rtl w:val="0"/>
          </w:rPr>
          <w:t xml:space="preserve">обучающими видеороликами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прямо на сервисе. Если нет, то знакомимся с инструкцией здесь.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  <w:rtl w:val="0"/>
        </w:rPr>
        <w:t xml:space="preserve">Шаг 1.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Переходим по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highlight w:val="white"/>
            <w:rtl w:val="0"/>
          </w:rPr>
          <w:t xml:space="preserve">ссылке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на сервис и регистрируемся.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  <w:rtl w:val="0"/>
        </w:rPr>
        <w:t xml:space="preserve">Шаг 2.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Скачиваем программу на свой компьютер.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</w:rPr>
        <w:drawing>
          <wp:inline distB="114300" distT="114300" distL="114300" distR="114300">
            <wp:extent cx="5943600" cy="3733800"/>
            <wp:effectExtent b="0" l="0" r="0" t="0"/>
            <wp:docPr id="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  <w:rtl w:val="0"/>
        </w:rPr>
        <w:t xml:space="preserve">Шаг 3.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Запускаем запись. Во всех последующих случаях работу с сервисом мы будем начинать сразу с третьего шага (если сохраним логин и пароль в браузере, то авторизация будет происходить автоматически, а программа на компьютере устанавливается однократно).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</w:rPr>
        <w:drawing>
          <wp:inline distB="114300" distT="114300" distL="114300" distR="114300">
            <wp:extent cx="5943600" cy="4013200"/>
            <wp:effectExtent b="0" l="0" r="0" t="0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  <w:rtl w:val="0"/>
        </w:rPr>
        <w:t xml:space="preserve">Шаг 4.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Устанавливаем настройки.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</w:rPr>
        <w:drawing>
          <wp:inline distB="114300" distT="114300" distL="114300" distR="114300">
            <wp:extent cx="5943600" cy="3378200"/>
            <wp:effectExtent b="0" l="0" r="0" t="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Перетащить рамку записи можно, зацепив ее мышкой за крестик в середине рамки.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660000"/>
          <w:sz w:val="24"/>
          <w:szCs w:val="24"/>
          <w:highlight w:val="white"/>
          <w:rtl w:val="0"/>
        </w:rPr>
        <w:t xml:space="preserve">Шаг 5.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Запускаем презентацию в режиме просмотра и включаем запись. Сначала на экране возникнет обратный отсчет: 3, 2, 1... После чего начнется запись. Пока она продолжается, на экране остается только одна кнопка - пауза - и таймер, показывающий время, в течение которого уже идет запись.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Если нам что-то не понравилось, останавливаем запись, просматриваем, находим точку, от которой запись хочется продолжить и жмем кнопку "Rec".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</w:rPr>
        <w:drawing>
          <wp:inline distB="114300" distT="114300" distL="114300" distR="114300">
            <wp:extent cx="5734050" cy="2752725"/>
            <wp:effectExtent b="0" l="0" r="0" t="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Система переспросит, действительно ли мы хотим обрезать запись и начать с указанного места. Соглашаемся и продолжаем запись.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</w:rPr>
        <w:drawing>
          <wp:inline distB="114300" distT="114300" distL="114300" distR="114300">
            <wp:extent cx="5372100" cy="1809750"/>
            <wp:effectExtent b="0" l="0" r="0" t="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85200c"/>
          <w:sz w:val="24"/>
          <w:szCs w:val="24"/>
          <w:highlight w:val="white"/>
          <w:rtl w:val="0"/>
        </w:rPr>
        <w:t xml:space="preserve">Шаг 6.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Завершаем работу и сохраняем запись. Для этого жмем кнопку "Done" и выбираем способ сохранения.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85200c"/>
        </w:rPr>
      </w:pPr>
      <w:r w:rsidDel="00000000" w:rsidR="00000000" w:rsidRPr="00000000">
        <w:rPr>
          <w:b w:val="1"/>
          <w:color w:val="85200c"/>
        </w:rPr>
        <w:drawing>
          <wp:inline distB="114300" distT="114300" distL="114300" distR="114300">
            <wp:extent cx="5943600" cy="4102100"/>
            <wp:effectExtent b="0" l="0" r="0" t="0"/>
            <wp:docPr descr="2016-10-09_153620.jpg" id="1" name="image8.jpg"/>
            <a:graphic>
              <a:graphicData uri="http://schemas.openxmlformats.org/drawingml/2006/picture">
                <pic:pic>
                  <pic:nvPicPr>
                    <pic:cNvPr descr="2016-10-09_153620.jpg"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8520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Шаг 7. </w:t>
      </w:r>
      <w:r w:rsidDel="00000000" w:rsidR="00000000" w:rsidRPr="00000000">
        <w:rPr>
          <w:rtl w:val="0"/>
        </w:rPr>
        <w:t xml:space="preserve">Устанавливаем параметры.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color w:val="8520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85200c"/>
        </w:rPr>
      </w:pPr>
      <w:r w:rsidDel="00000000" w:rsidR="00000000" w:rsidRPr="00000000">
        <w:rPr>
          <w:b w:val="1"/>
          <w:color w:val="85200c"/>
        </w:rPr>
        <w:drawing>
          <wp:inline distB="114300" distT="114300" distL="114300" distR="114300">
            <wp:extent cx="5943600" cy="4140200"/>
            <wp:effectExtent b="0" l="0" r="0" t="0"/>
            <wp:docPr descr="2016-05-18_1640361.jpg" id="2" name="image9.jpg"/>
            <a:graphic>
              <a:graphicData uri="http://schemas.openxmlformats.org/drawingml/2006/picture">
                <pic:pic>
                  <pic:nvPicPr>
                    <pic:cNvPr descr="2016-05-18_1640361.jpg" id="0" name="image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8520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85200c"/>
        </w:rPr>
      </w:pPr>
      <w:r w:rsidDel="00000000" w:rsidR="00000000" w:rsidRPr="00000000">
        <w:rPr>
          <w:b w:val="1"/>
          <w:color w:val="85200c"/>
          <w:rtl w:val="0"/>
        </w:rPr>
        <w:t xml:space="preserve">Приятной вам работы с сервисом!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11.jpg"/><Relationship Id="rId13" Type="http://schemas.openxmlformats.org/officeDocument/2006/relationships/image" Target="media/image8.jpg"/><Relationship Id="rId12" Type="http://schemas.openxmlformats.org/officeDocument/2006/relationships/image" Target="media/image12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jpg"/><Relationship Id="rId14" Type="http://schemas.openxmlformats.org/officeDocument/2006/relationships/image" Target="media/image9.jpg"/><Relationship Id="rId5" Type="http://schemas.openxmlformats.org/officeDocument/2006/relationships/hyperlink" Target="https://ru.wikipedia.org/wiki/Windows" TargetMode="External"/><Relationship Id="rId6" Type="http://schemas.openxmlformats.org/officeDocument/2006/relationships/hyperlink" Target="http://help.screencast-o-matic.com/" TargetMode="External"/><Relationship Id="rId7" Type="http://schemas.openxmlformats.org/officeDocument/2006/relationships/hyperlink" Target="https://screencast-o-matic.com/" TargetMode="External"/><Relationship Id="rId8" Type="http://schemas.openxmlformats.org/officeDocument/2006/relationships/image" Target="media/image13.jpg"/></Relationships>
</file>